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082"/>
      </w:tblGrid>
      <w:tr w:rsidR="00703CDE" w:rsidTr="00FF3913">
        <w:trPr>
          <w:trHeight w:val="221"/>
        </w:trPr>
        <w:tc>
          <w:tcPr>
            <w:tcW w:w="1701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FF3913" w:rsidTr="00FF3913">
        <w:trPr>
          <w:trHeight w:val="357"/>
        </w:trPr>
        <w:tc>
          <w:tcPr>
            <w:tcW w:w="1701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FF3913">
        <w:tc>
          <w:tcPr>
            <w:tcW w:w="1701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FF3913" w:rsidTr="00FF3913">
        <w:tc>
          <w:tcPr>
            <w:tcW w:w="1701" w:type="dxa"/>
          </w:tcPr>
          <w:p w:rsidR="00F72FF8" w:rsidRDefault="00FF3913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№4</w:t>
            </w:r>
          </w:p>
          <w:p w:rsidR="00F72FF8" w:rsidRDefault="00FF391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F391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F391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180F64" w:rsidRDefault="00FF391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315F0" w:rsidRDefault="00FF391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</w:tc>
        <w:tc>
          <w:tcPr>
            <w:tcW w:w="7082" w:type="dxa"/>
          </w:tcPr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8A2521" w:rsidRPr="00FF3913" w:rsidTr="00FF3913">
        <w:tc>
          <w:tcPr>
            <w:tcW w:w="1701" w:type="dxa"/>
          </w:tcPr>
          <w:p w:rsidR="008A2521" w:rsidRPr="008A2521" w:rsidRDefault="00FF391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8A2521" w:rsidRPr="008A2521" w:rsidRDefault="008A2521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 заверениях и гарантиях</w:t>
            </w:r>
          </w:p>
        </w:tc>
      </w:tr>
      <w:tr w:rsidR="009102A0" w:rsidRPr="00DF262F" w:rsidTr="00FF3913">
        <w:trPr>
          <w:trHeight w:val="705"/>
        </w:trPr>
        <w:tc>
          <w:tcPr>
            <w:tcW w:w="8783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FF3913" w:rsidTr="00FF3913">
        <w:tc>
          <w:tcPr>
            <w:tcW w:w="1701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FF3913" w:rsidTr="00FF3913">
        <w:tc>
          <w:tcPr>
            <w:tcW w:w="1701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FF3913" w:rsidTr="00FF3913">
        <w:tc>
          <w:tcPr>
            <w:tcW w:w="1701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FF3913" w:rsidTr="00FF3913">
        <w:tc>
          <w:tcPr>
            <w:tcW w:w="1701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Стандартная оговорка 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</w:t>
      </w:r>
      <w:r w:rsidR="0049103E"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сохранности сведений конфиденциального характера</w:t>
      </w:r>
    </w:p>
    <w:p w:rsidR="00D1099F" w:rsidRPr="00D1099F" w:rsidRDefault="00D1099F" w:rsidP="00D1099F">
      <w:pPr>
        <w:rPr>
          <w:color w:val="000000" w:themeColor="text1"/>
          <w:lang w:val="ru-RU"/>
        </w:rPr>
      </w:pP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8C2A13">
        <w:rPr>
          <w:rFonts w:ascii="Times New Roman" w:hAnsi="Times New Roman"/>
          <w:color w:val="000000" w:themeColor="text1"/>
          <w:szCs w:val="24"/>
        </w:rPr>
        <w:t>Для целей настояще</w:t>
      </w:r>
      <w:r>
        <w:rPr>
          <w:rFonts w:ascii="Times New Roman" w:hAnsi="Times New Roman"/>
          <w:color w:val="000000" w:themeColor="text1"/>
          <w:szCs w:val="24"/>
        </w:rPr>
        <w:t>го раздела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термин</w:t>
      </w:r>
      <w:r>
        <w:rPr>
          <w:rFonts w:ascii="Times New Roman" w:hAnsi="Times New Roman"/>
          <w:color w:val="000000" w:themeColor="text1"/>
          <w:szCs w:val="24"/>
        </w:rPr>
        <w:t>ы: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«Раскрывающая сторона» означает для целей каждого случая обмена Конфиденциальной</w:t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color w:val="000000" w:themeColor="text1"/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«Получающая Сторона» означает для целей каждого случая обмена Конфиденциальной</w:t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bCs/>
          <w:color w:val="000000" w:themeColor="text1"/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D1099F" w:rsidRPr="0049103E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Информацией, между ПАО «НК «Роснефть», его Аффилированными лицами и пользователями Системы;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«Конфиденциальная информация» означает любую информацию, предоставляемую в рамках настоящего</w:t>
      </w:r>
      <w:r w:rsidRPr="00D1099F">
        <w:rPr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в любой форме (в том числе, но не ограничиваясь,</w:t>
      </w:r>
      <w:r w:rsidRPr="00D1099F">
        <w:rPr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D1099F" w:rsidRPr="0049103E" w:rsidRDefault="00521A74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. "/>
            </w:textInput>
          </w:ffData>
        </w:fldCha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К «Конфиденциальной информации» также относится содержание настоящего Договора.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(Примечание: с учетом п. 3 Пояснительной записки)</w:t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49103E" w:rsidRDefault="00D1099F" w:rsidP="00D1099F">
      <w:pPr>
        <w:tabs>
          <w:tab w:val="num" w:pos="709"/>
        </w:tabs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;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к конфиденциальной.</w:t>
      </w:r>
    </w:p>
    <w:p w:rsidR="00D1099F" w:rsidRDefault="00D1099F" w:rsidP="00D1099F">
      <w:pPr>
        <w:pStyle w:val="10"/>
        <w:ind w:firstLine="708"/>
        <w:jc w:val="both"/>
        <w:rPr>
          <w:rFonts w:ascii="Times New Roman CYR" w:hAnsi="Times New Roman CYR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настоящего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Договора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</w:t>
      </w:r>
      <w:r w:rsidRPr="00B845E7">
        <w:rPr>
          <w:rFonts w:ascii="Times New Roman" w:hAnsi="Times New Roman"/>
          <w:color w:val="000000" w:themeColor="text1"/>
        </w:rPr>
        <w:lastRenderedPageBreak/>
        <w:t xml:space="preserve">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>
        <w:rPr>
          <w:rFonts w:ascii="Times New Roman CYR" w:hAnsi="Times New Roman CYR"/>
        </w:rPr>
        <w:t xml:space="preserve">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t xml:space="preserve">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Раздел оговорки для включения в договоры поставки МТР, выполнения работ, оказания услуг: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3. В рамках настоящего Договора/Соглашения Получающая сторона вправе предоставлять ПАО «НК «Роснефть» и/или Обществам Группы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для участия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3C286C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4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5.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</w:p>
    <w:p w:rsidR="00D1099F" w:rsidRDefault="00D1099F" w:rsidP="00D1099F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 xml:space="preserve">6. 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3" w:name="ТекстовоеПоле7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которые не должны его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3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5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7.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Федеральным законом от 29.07.2004 № 98-ФЗ «О коммерческой тайне» либо иным аналогичным законом.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6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D1099F" w:rsidRPr="0049103E" w:rsidRDefault="00D1099F" w:rsidP="00D1099F">
      <w:pPr>
        <w:spacing w:line="20" w:lineRule="atLeast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  <w:instrText>FORMTEXT</w:instrText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D1099F">
        <w:rPr>
          <w:noProof/>
          <w:color w:val="000000" w:themeColor="text1"/>
          <w:highlight w:val="darkGray"/>
          <w:lang w:val="ru-RU"/>
        </w:rPr>
        <w:t>8.</w:t>
      </w:r>
      <w:r w:rsidRPr="00B13C14">
        <w:rPr>
          <w:color w:val="000000" w:themeColor="text1"/>
          <w:highlight w:val="darkGray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Получающая Сторона соглашается, что если в соответствии с законодательством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lastRenderedPageBreak/>
        <w:t>Российской Федерации или иной юрисдикции, информация, относящаяся к Конфиденциальной</w:t>
      </w:r>
      <w:r w:rsidRPr="00D1099F">
        <w:rPr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Информации в соответствии с настоящим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, не подлежит защите или подлежит защите в меньшей степени</w:t>
      </w:r>
      <w:r w:rsidRPr="00D1099F">
        <w:rPr>
          <w:lang w:val="ru-RU"/>
        </w:rPr>
        <w:t xml:space="preserve">, чем предусмотрено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настоящим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, это не отменяет и не уменьшает обязательств Получающей Стороны по настоящему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Договору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.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9.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>, и при условии обеспечения 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10.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3C14">
        <w:rPr>
          <w:color w:val="000000" w:themeColor="text1"/>
          <w:highlight w:val="darkGray"/>
        </w:rPr>
        <w:instrText xml:space="preserve"> FORMTEXT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color w:val="000000" w:themeColor="text1"/>
          <w:highlight w:val="darkGray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color w:val="000000" w:themeColor="text1"/>
          <w:highlight w:val="darkGray"/>
        </w:rPr>
        <w:t>Договора/Соглашения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>11.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российским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i/>
          <w:color w:val="000000" w:themeColor="text1"/>
          <w:highlight w:val="darkGray"/>
        </w:rP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i/>
          <w:noProof/>
          <w:color w:val="000000" w:themeColor="text1"/>
          <w:highlight w:val="darkGray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 этом убытки возмещаются в полной сумме сверх указанной неустойки (штрафная неустойка).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7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 xml:space="preserve"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ЛИБО </w:t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>реальный ущерб,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причинённый таким Разглашением, при этом упущенная выгода возмещению не подлежит.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8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3 (Роснефть является Получающей Стороной)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при этом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упущенная выгода возмещению не подлежит.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иностранным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Вариант 1 (Роснефть раскрывающая сторона)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  <w:highlight w:val="darkGray"/>
        </w:rPr>
      </w:r>
      <w:r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  <w:highlight w:val="darkGray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="00D1099F"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i/>
          <w:color w:val="000000" w:themeColor="text1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2 (Роснефть получающая сторона)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 результате нарушения условий настоящий статьи;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обязанность по доказыванию факта разглашения и размера убытков возлагается на Раскрывающую Сторону;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3 (Взаимное раскрытие)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 Конфиденциальной Информации, произошедшего в результате нарушения условий настоящего Договора Получающей Стороной;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 наступления наиболее поздней из следующих дат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4"/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(применимо при наличии вариативности нижеуказанных условий)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bookmarkEnd w:id="5"/>
      <w:r>
        <w:rPr>
          <w:rFonts w:ascii="Times New Roman" w:hAnsi="Times New Roman"/>
          <w:color w:val="000000" w:themeColor="text1"/>
        </w:rPr>
        <w:t xml:space="preserve">: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1)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 года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D1099F" w:rsidRDefault="00521A74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6"/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;"/>
            </w:textInput>
          </w:ffData>
        </w:fldChar>
      </w:r>
      <w:bookmarkStart w:id="7" w:name="ТекстовоеПоле4"/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рамках которых планируется Раскрытие Конфиденциальной Информации;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7"/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9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9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2847D9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5"/>
            <w:enabled/>
            <w:calcOnExit w:val="0"/>
            <w:textInput>
              <w:default w:val="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8" w:name="ТекстовоеПоле5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8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."/>
            </w:textInput>
          </w:ffData>
        </w:fldChar>
      </w:r>
      <w:bookmarkStart w:id="9" w:name="ТекстовоеПоле6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отношении которого Стороны заключили юридически обязывающее соглашение.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9"/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10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10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Pr="00F96180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1546F4" w:rsidRPr="001546F4" w:rsidRDefault="001546F4" w:rsidP="001546F4">
      <w:pPr>
        <w:pStyle w:val="4"/>
        <w:shd w:val="clear" w:color="auto" w:fill="auto"/>
        <w:spacing w:after="60" w:line="240" w:lineRule="auto"/>
        <w:ind w:left="-142" w:firstLine="425"/>
        <w:rPr>
          <w:b/>
          <w:sz w:val="24"/>
          <w:szCs w:val="24"/>
          <w:lang w:val="ru-RU"/>
        </w:rPr>
      </w:pPr>
      <w:r w:rsidRPr="001546F4">
        <w:rPr>
          <w:b/>
          <w:sz w:val="24"/>
          <w:szCs w:val="24"/>
          <w:lang w:val="ru-RU"/>
        </w:rPr>
        <w:t>ОГОВОРКА О ВЗАИМОДЕЙСТВИИ СТОРОН ПРИ ЭДО</w:t>
      </w:r>
    </w:p>
    <w:p w:rsidR="001546F4" w:rsidRPr="007569DB" w:rsidRDefault="001546F4" w:rsidP="001546F4">
      <w:pPr>
        <w:pStyle w:val="10"/>
        <w:ind w:left="-142" w:right="1" w:firstLine="425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1. </w:t>
      </w:r>
      <w:r w:rsidRPr="007569DB">
        <w:rPr>
          <w:rFonts w:ascii="Times New Roman" w:hAnsi="Times New Roman"/>
          <w:color w:val="000000" w:themeColor="text1"/>
          <w:szCs w:val="24"/>
        </w:rPr>
        <w:t xml:space="preserve">Для целей </w:t>
      </w:r>
      <w:r>
        <w:rPr>
          <w:rFonts w:ascii="Times New Roman" w:hAnsi="Times New Roman"/>
          <w:color w:val="000000" w:themeColor="text1"/>
          <w:szCs w:val="24"/>
        </w:rPr>
        <w:t>Оговорки</w:t>
      </w:r>
      <w:r w:rsidRPr="007569DB">
        <w:rPr>
          <w:rFonts w:ascii="Times New Roman" w:hAnsi="Times New Roman"/>
          <w:color w:val="000000" w:themeColor="text1"/>
          <w:szCs w:val="24"/>
        </w:rPr>
        <w:t xml:space="preserve">: </w:t>
      </w:r>
    </w:p>
    <w:p w:rsidR="001546F4" w:rsidRPr="001546F4" w:rsidRDefault="001546F4" w:rsidP="001546F4">
      <w:pPr>
        <w:pStyle w:val="4"/>
        <w:numPr>
          <w:ilvl w:val="0"/>
          <w:numId w:val="46"/>
        </w:numPr>
        <w:shd w:val="clear" w:color="auto" w:fill="auto"/>
        <w:tabs>
          <w:tab w:val="left" w:pos="426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bookmarkStart w:id="10" w:name="_GoBack"/>
      <w:bookmarkEnd w:id="10"/>
      <w:r w:rsidRPr="001546F4">
        <w:rPr>
          <w:sz w:val="24"/>
          <w:szCs w:val="24"/>
          <w:lang w:val="ru-RU"/>
        </w:rPr>
        <w:t>Электронный документооборот (ЭДО) – способ работы с документами, при котором документы создаются, передаются, хранятся в электронном виде.</w:t>
      </w:r>
    </w:p>
    <w:p w:rsidR="001546F4" w:rsidRPr="001546F4" w:rsidRDefault="001546F4" w:rsidP="001546F4">
      <w:pPr>
        <w:pStyle w:val="4"/>
        <w:keepNext/>
        <w:keepLines/>
        <w:numPr>
          <w:ilvl w:val="0"/>
          <w:numId w:val="46"/>
        </w:numPr>
        <w:shd w:val="clear" w:color="auto" w:fill="auto"/>
        <w:tabs>
          <w:tab w:val="left" w:pos="426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 xml:space="preserve">Оператор ЭДО - организация, обеспечивающая ЭДО по телекоммуникационным каналам связи между Сторонами с применением электронных подписей. </w:t>
      </w:r>
    </w:p>
    <w:p w:rsidR="001546F4" w:rsidRPr="001546F4" w:rsidRDefault="001546F4" w:rsidP="001546F4">
      <w:pPr>
        <w:pStyle w:val="4"/>
        <w:keepNext/>
        <w:keepLines/>
        <w:numPr>
          <w:ilvl w:val="0"/>
          <w:numId w:val="46"/>
        </w:numPr>
        <w:shd w:val="clear" w:color="auto" w:fill="auto"/>
        <w:tabs>
          <w:tab w:val="left" w:pos="426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Электронная подпись (ЭП) - информация в электронной форме, присоединенная к другой информации в электронной форме или иным образом связана с такой информацией и которая используется для определения лица, подписывающего документ.</w:t>
      </w:r>
    </w:p>
    <w:p w:rsidR="001546F4" w:rsidRPr="001546F4" w:rsidRDefault="001546F4" w:rsidP="001546F4">
      <w:pPr>
        <w:pStyle w:val="4"/>
        <w:keepNext/>
        <w:keepLines/>
        <w:numPr>
          <w:ilvl w:val="0"/>
          <w:numId w:val="46"/>
        </w:numPr>
        <w:shd w:val="clear" w:color="auto" w:fill="auto"/>
        <w:tabs>
          <w:tab w:val="left" w:pos="426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Квалифицированная электронная подпись (КЭП) - вид усиленной ЭП, которая соответствует всем признакам Закона от 06.04.2011 №63-ФЗ «Об электронной подписи» (Закон).</w:t>
      </w:r>
    </w:p>
    <w:p w:rsidR="001546F4" w:rsidRPr="001546F4" w:rsidRDefault="001546F4" w:rsidP="001546F4">
      <w:pPr>
        <w:pStyle w:val="4"/>
        <w:keepNext/>
        <w:keepLines/>
        <w:numPr>
          <w:ilvl w:val="0"/>
          <w:numId w:val="46"/>
        </w:numPr>
        <w:shd w:val="clear" w:color="auto" w:fill="auto"/>
        <w:tabs>
          <w:tab w:val="left" w:pos="426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bCs/>
          <w:iCs/>
          <w:sz w:val="24"/>
          <w:szCs w:val="24"/>
          <w:lang w:val="ru-RU"/>
        </w:rPr>
        <w:t xml:space="preserve">Удостоверяющий центр (УЦ) </w:t>
      </w:r>
      <w:r w:rsidRPr="001546F4">
        <w:rPr>
          <w:sz w:val="24"/>
          <w:szCs w:val="24"/>
          <w:lang w:val="ru-RU"/>
        </w:rPr>
        <w:t>– аккредитованная организация, осуществляющая функции по созданию и выдаче сертификатов ключей проверки КЭП (Сертификат КЭП).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851"/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2. Документ, подписанный КЭП, признается электронным документом (ЭД), равнозначным документу, подписанному на бумажном носителе, порождает для Сторон юридические последствия в виде установления, изменения, прекращения взаимных прав и обязанностей при одновременном соблюдении условий: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851"/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а) действительность Сертификата КЭП, с помощью которой подписан ЭД;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851"/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б) положительный результат проверки принадлежности владельцу Сертификата КЭП.</w:t>
      </w:r>
    </w:p>
    <w:p w:rsidR="001546F4" w:rsidRPr="001546F4" w:rsidRDefault="001546F4" w:rsidP="001546F4">
      <w:pPr>
        <w:pStyle w:val="4"/>
        <w:widowControl/>
        <w:shd w:val="clear" w:color="auto" w:fill="auto"/>
        <w:tabs>
          <w:tab w:val="left" w:pos="993"/>
        </w:tabs>
        <w:autoSpaceDE w:val="0"/>
        <w:autoSpaceDN w:val="0"/>
        <w:adjustRightInd w:val="0"/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 xml:space="preserve">3. Дополнительные соглашения (ДС) и иные документы, в </w:t>
      </w:r>
      <w:proofErr w:type="spellStart"/>
      <w:r w:rsidRPr="001546F4">
        <w:rPr>
          <w:sz w:val="24"/>
          <w:szCs w:val="24"/>
          <w:lang w:val="ru-RU"/>
        </w:rPr>
        <w:t>т.ч</w:t>
      </w:r>
      <w:proofErr w:type="spellEnd"/>
      <w:r w:rsidRPr="001546F4">
        <w:rPr>
          <w:sz w:val="24"/>
          <w:szCs w:val="24"/>
          <w:lang w:val="ru-RU"/>
        </w:rPr>
        <w:t xml:space="preserve">. первичные, могут быть подписаны КЭП. </w:t>
      </w:r>
    </w:p>
    <w:p w:rsidR="001546F4" w:rsidRPr="001546F4" w:rsidRDefault="001546F4" w:rsidP="001546F4">
      <w:pPr>
        <w:pStyle w:val="4"/>
        <w:widowControl/>
        <w:shd w:val="clear" w:color="auto" w:fill="auto"/>
        <w:tabs>
          <w:tab w:val="left" w:pos="993"/>
        </w:tabs>
        <w:autoSpaceDE w:val="0"/>
        <w:autoSpaceDN w:val="0"/>
        <w:adjustRightInd w:val="0"/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lastRenderedPageBreak/>
        <w:t xml:space="preserve">Заключение Договора посредством ЭДО не является препятствием для подписания ДС к Договору и иных документов, в </w:t>
      </w:r>
      <w:proofErr w:type="spellStart"/>
      <w:r w:rsidRPr="001546F4">
        <w:rPr>
          <w:sz w:val="24"/>
          <w:szCs w:val="24"/>
          <w:lang w:val="ru-RU"/>
        </w:rPr>
        <w:t>т.ч</w:t>
      </w:r>
      <w:proofErr w:type="spellEnd"/>
      <w:r w:rsidRPr="001546F4">
        <w:rPr>
          <w:sz w:val="24"/>
          <w:szCs w:val="24"/>
          <w:lang w:val="ru-RU"/>
        </w:rPr>
        <w:t xml:space="preserve">. первичных, собственноручно на бумажном носителе. 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851"/>
          <w:tab w:val="left" w:pos="1134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 xml:space="preserve">4. Стороны самостоятельно и за свой счет получают Сертификаты КЭП в УЦ. 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 xml:space="preserve">5. Каждая из Сторон при подписании ЭД применяет свой ключ КЭП, а при проверке подписи - ключ проверки Сертификата КЭП другой Стороны. 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6. При использовании КЭП Стороны обязаны: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 xml:space="preserve">а) принимать организационные, технические меры обеспечения конфиденциальности ключа ЭП (компрометации ключа ЭП), в </w:t>
      </w:r>
      <w:proofErr w:type="spellStart"/>
      <w:r w:rsidRPr="001546F4">
        <w:rPr>
          <w:sz w:val="24"/>
          <w:szCs w:val="24"/>
          <w:lang w:val="ru-RU"/>
        </w:rPr>
        <w:t>т.ч</w:t>
      </w:r>
      <w:proofErr w:type="spellEnd"/>
      <w:r w:rsidRPr="001546F4">
        <w:rPr>
          <w:sz w:val="24"/>
          <w:szCs w:val="24"/>
          <w:lang w:val="ru-RU"/>
        </w:rPr>
        <w:t>. использовать специализированные программные/программно-аппаратные средства защиты информации, средства антивирусной защиты, лицензионное программное обеспечение, не допускать к компьютерам 3-х лиц, обеспечивать надежность хранения ключей ЭП (имен и паролей, используемых при работе с ними), соблюдать требования законодательства РФ;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  <w:tab w:val="left" w:pos="1276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б) уведомлять УЦ, выдавший Сертификат КЭП, и иных участников ЭДО о нарушении конфиденциальности ключа ЭП в течение 1 рабочего дня со дня получения информации;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  <w:tab w:val="left" w:pos="1276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в) не использовать ключ ЭП при наличии признаков нарушения конфиденциальности;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  <w:tab w:val="left" w:pos="1276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г) использовать для создания, проверки КЭП, ключей ЭП, ключей их проверки, сертифицированные средства ЭП в соответствии с требованиями Закона;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709"/>
          <w:tab w:val="left" w:pos="851"/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 xml:space="preserve">д) информировать друг друга о полномочиях владельцев Сертификатов КЭП; 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851"/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е) при техническом сбое</w:t>
      </w:r>
      <w:r w:rsidRPr="001546F4" w:rsidDel="009A3977">
        <w:rPr>
          <w:sz w:val="24"/>
          <w:szCs w:val="24"/>
          <w:lang w:val="ru-RU"/>
        </w:rPr>
        <w:t xml:space="preserve"> </w:t>
      </w:r>
      <w:r w:rsidRPr="001546F4">
        <w:rPr>
          <w:sz w:val="24"/>
          <w:szCs w:val="24"/>
          <w:lang w:val="ru-RU"/>
        </w:rPr>
        <w:t>незамедлительно информировать друг друга о невозможности ЭДО. В этот период Стороны обмениваются подписанными документами на бумажном носителе.</w:t>
      </w:r>
    </w:p>
    <w:p w:rsidR="001546F4" w:rsidRPr="001546F4" w:rsidRDefault="001546F4" w:rsidP="001546F4">
      <w:pPr>
        <w:pStyle w:val="a4"/>
        <w:widowControl/>
        <w:tabs>
          <w:tab w:val="left" w:pos="1134"/>
        </w:tabs>
        <w:ind w:left="-142" w:right="1" w:firstLine="425"/>
        <w:jc w:val="both"/>
        <w:rPr>
          <w:rFonts w:ascii="Times New Roman" w:eastAsia="Times New Roman" w:hAnsi="Times New Roman" w:cs="Times New Roman"/>
          <w:lang w:val="ru-RU"/>
        </w:rPr>
      </w:pPr>
      <w:r w:rsidRPr="001546F4">
        <w:rPr>
          <w:rFonts w:ascii="Times New Roman" w:eastAsia="Times New Roman" w:hAnsi="Times New Roman" w:cs="Times New Roman"/>
          <w:lang w:val="ru-RU"/>
        </w:rPr>
        <w:t>7. Использование КЭП с нарушением конфиденциальности ключа ЭП (компрометации ключа ЭП) не освобождает Сторону Договора от ответственности за соответствующие последствия.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8. КЭП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а) Сертификат КЭП выдан УЦ, аккредитация которого действительна на день выдачи сертификата;</w:t>
      </w:r>
    </w:p>
    <w:p w:rsidR="001546F4" w:rsidRPr="001546F4" w:rsidRDefault="001546F4" w:rsidP="001546F4">
      <w:pPr>
        <w:pStyle w:val="4"/>
        <w:shd w:val="clear" w:color="auto" w:fill="auto"/>
        <w:tabs>
          <w:tab w:val="left" w:pos="993"/>
        </w:tabs>
        <w:spacing w:line="240" w:lineRule="auto"/>
        <w:ind w:left="-142" w:right="1" w:firstLine="425"/>
        <w:jc w:val="both"/>
        <w:rPr>
          <w:sz w:val="24"/>
          <w:szCs w:val="24"/>
          <w:lang w:val="ru-RU"/>
        </w:rPr>
      </w:pPr>
      <w:r w:rsidRPr="001546F4">
        <w:rPr>
          <w:sz w:val="24"/>
          <w:szCs w:val="24"/>
          <w:lang w:val="ru-RU"/>
        </w:rPr>
        <w:t>б) Сертификат КЭП действителен на момент подписания ЭД или на день проверки действительности сертификата, если момент подписания ЭД не определен;</w:t>
      </w:r>
    </w:p>
    <w:p w:rsidR="0091511B" w:rsidRPr="001546F4" w:rsidRDefault="001546F4" w:rsidP="001546F4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6F4">
        <w:rPr>
          <w:rFonts w:ascii="Times New Roman" w:hAnsi="Times New Roman" w:cs="Times New Roman"/>
          <w:sz w:val="24"/>
          <w:szCs w:val="24"/>
          <w:lang w:val="ru-RU"/>
        </w:rPr>
        <w:t>в) имеется положительный результат проверки принадлежности владельцу Сертификата КЭП, с помощью которой подписан ЭД, и подтверждено отсутствие изменений, внесенных в этот документ после его подписания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1546F4">
        <w:rPr>
          <w:rFonts w:ascii="Times New Roman" w:hAnsi="Times New Roman"/>
          <w:sz w:val="24"/>
          <w:szCs w:val="24"/>
          <w:lang w:val="ru-RU"/>
        </w:rPr>
        <w:t>4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sekr@knpz.rosneft.ru "/>
            </w:textInput>
          </w:ffData>
        </w:fldCha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C488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sekr@knpz.rosneft.ru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________ "/>
            </w:textInput>
          </w:ffData>
        </w:fldCha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BF55A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__________________________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proofErr w:type="gramStart"/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На копию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1546F4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№5</w:t>
      </w:r>
      <w:r w:rsidR="00C118B1">
        <w:rPr>
          <w:rFonts w:ascii="Times New Roman" w:hAnsi="Times New Roman"/>
          <w:sz w:val="24"/>
          <w:szCs w:val="24"/>
          <w:lang w:val="ru-RU"/>
        </w:rPr>
        <w:t>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1" w:name="_Toc8647027"/>
      <w:bookmarkStart w:id="1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1"/>
      <w:bookmarkEnd w:id="1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3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1546F4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№6</w:t>
      </w:r>
      <w:r w:rsidR="00A96A3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1546F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№7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4" w:name="_Toc99118092"/>
      <w:bookmarkStart w:id="15" w:name="_Toc8647037"/>
      <w:r>
        <w:rPr>
          <w:lang w:val="ru-RU"/>
        </w:rPr>
        <w:t>О предоставлении бухгалтерской отчетности</w:t>
      </w:r>
      <w:bookmarkEnd w:id="14"/>
      <w:bookmarkEnd w:id="1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7033D7" w:rsidRPr="007033D7" w:rsidRDefault="007033D7" w:rsidP="007033D7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  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Продавец 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в целях достоверного представления информации о финансовом положении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Покупателя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вправе требовать предоставления бухгалтерской (финансовой) отчётности,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    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Покупатель   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обязан предоставить указанную информацию в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электронном/бумажном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по письменному запросу/по запросу по электронной почте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    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Продавца   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, направленному по реквизитам, указанным в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е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Договоре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настоящего Договора, в течение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10 (десяти) рабочих дней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3 (трёх) рабочих дней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с даты её подписания. </w:t>
      </w:r>
    </w:p>
    <w:p w:rsidR="007033D7" w:rsidRPr="007033D7" w:rsidRDefault="007033D7" w:rsidP="007033D7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033D7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фина России от 04.10.2023 №157н «Об утверждении Федерального стандарта бухгалтерского учета ФСБУ 4/2023 &quot;Бухгалтерская (финансовая) отчетность»: Форма 0710001 по ОКУД, Форма 0710002 по ОКУД"/>
            </w:textInput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для резидентов РФ: по формам, установленным Приказом Минфина России от 04.10.2023 №157н «Об утверждении Федерального стандарта бухгалтерского учета ФСБУ 4/2023 "Бухгалтерская (финансовая) отчетность»: Форма 0710001 по ОКУД, Форма 0710002 по ОКУД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"/>
            <w:enabled/>
            <w:calcOnExit w:val="0"/>
            <w:textInput>
              <w:default w:val=", Форма 0710003 по ОКУД, Форма 0710005 по ОКУД. "/>
            </w:textInput>
          </w:ffData>
        </w:fldChar>
      </w:r>
      <w:bookmarkStart w:id="16" w:name="ТекстовоеПоле9"/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, Форма 0710003 по ОКУД, Форма 0710005 по ОКУД.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bookmarkEnd w:id="16"/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033D7" w:rsidRPr="007033D7" w:rsidRDefault="007033D7" w:rsidP="007033D7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</w:t>
      </w:r>
      <w:proofErr w:type="gramStart"/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запроса  </w:t>
      </w:r>
      <w:proofErr w:type="gramEnd"/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Продавца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3 (трёх) рабочих дней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с даты получения соответствующей отметки.</w:t>
      </w:r>
    </w:p>
    <w:p w:rsidR="008B1B84" w:rsidRDefault="007033D7" w:rsidP="007033D7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       В случае </w:t>
      </w:r>
      <w:proofErr w:type="spellStart"/>
      <w:r w:rsidRPr="007033D7">
        <w:rPr>
          <w:rFonts w:ascii="Times New Roman" w:hAnsi="Times New Roman" w:cs="Times New Roman"/>
          <w:sz w:val="24"/>
          <w:szCs w:val="24"/>
          <w:lang w:val="ru-RU"/>
        </w:rPr>
        <w:t>непредоставления</w:t>
      </w:r>
      <w:proofErr w:type="spellEnd"/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Покупателем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бухгалтерской (финансовой) отчётности по запросу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Продавца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, предоставление которой предусмотрено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5.1"/>
            </w:textInput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п. 5.1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Договора,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 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Покупатель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обязан уплатить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Продавцу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штраф в </w:t>
      </w:r>
      <w:proofErr w:type="gramStart"/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размере </w:t>
      </w:r>
      <w:proofErr w:type="gramEnd"/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proofErr w:type="gramStart"/>
      <w:r w:rsidRPr="007033D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836881" w:rsidRDefault="00836881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1546F4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</w:t>
      </w:r>
      <w:r w:rsidR="00452DB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Налоговые</w:t>
      </w:r>
      <w:proofErr w:type="spellEnd"/>
      <w:r w:rsidRPr="00D17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оговорки</w:t>
      </w:r>
      <w:proofErr w:type="spellEnd"/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lastRenderedPageBreak/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7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7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FF3913">
        <w:rPr>
          <w:rFonts w:eastAsia="Calibri"/>
          <w:szCs w:val="24"/>
        </w:rPr>
      </w:r>
      <w:r w:rsidR="00FF3913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r w:rsidR="00B87634"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</w:t>
      </w:r>
      <w:r w:rsidR="00B87634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87634" w:rsidRPr="001F3F2C">
        <w:rPr>
          <w:lang w:val="ru-RU"/>
        </w:rPr>
        <w:instrText xml:space="preserve"> </w:instrText>
      </w:r>
      <w:r w:rsidR="00B87634">
        <w:instrText>FORMCHECKBOX</w:instrText>
      </w:r>
      <w:r w:rsidR="00B87634" w:rsidRPr="001F3F2C">
        <w:rPr>
          <w:lang w:val="ru-RU"/>
        </w:rPr>
        <w:instrText xml:space="preserve"> </w:instrText>
      </w:r>
      <w:r w:rsidR="00FF3913">
        <w:fldChar w:fldCharType="separate"/>
      </w:r>
      <w:r w:rsidR="00B87634"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избежании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двойного налогообложения между РФ и юрисдикцией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облагаются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т.ч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E81519" w:rsidRDefault="00E81519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1546F4" w:rsidRDefault="001546F4" w:rsidP="001546F4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№9</w:t>
      </w:r>
    </w:p>
    <w:p w:rsidR="00612C6F" w:rsidRPr="000C6B3C" w:rsidRDefault="00612C6F" w:rsidP="001546F4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8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8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lastRenderedPageBreak/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81519" w:rsidRDefault="00E81519" w:rsidP="00E81519">
      <w:pPr>
        <w:pStyle w:val="a4"/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81519" w:rsidRDefault="001546F4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E81519" w:rsidRDefault="00E81519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E81519" w:rsidRPr="00E81519" w:rsidRDefault="00E81519" w:rsidP="00E81519">
      <w:pPr>
        <w:widowControl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Оговорка о заверениях и гарантиях"/>
            </w:textInput>
          </w:ffData>
        </w:fldChar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b/>
          <w:noProof/>
          <w:sz w:val="24"/>
          <w:szCs w:val="24"/>
          <w:highlight w:val="lightGray"/>
          <w:lang w:val="ru-RU" w:eastAsia="ru-RU"/>
        </w:rPr>
        <w:t>Оговорка о заверениях и гарантиях</w:t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t xml:space="preserve"> </w:t>
      </w:r>
    </w:p>
    <w:p w:rsidR="00E81519" w:rsidRPr="00E81519" w:rsidRDefault="00E81519" w:rsidP="00E81519">
      <w:pPr>
        <w:widowControl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для договоров поставки товаров/работ/услуг, по которым контрагент выбран по результатам проведения конкурентной или неконкурентной процедуры закупки)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(для договоров поставки товаров/работ/услуг, по которым контрагент выбран по результатам проведения конкурентной или неконкурентной процедуры закупки)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1.1.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bookmarkStart w:id="19" w:name="ТекстовоеПоле930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bookmarkEnd w:id="19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основании ст. 431.2 ГК РФ заверяет и гарантирует, что он: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является юридическим лицом, надлежащим образом зарегистрированным и осуществляющим свою деятельность в соответствии с применимым законодательством;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является платежеспособным и состоятельным;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 выполнил все необходимые внутренние процедуры и согласования относительно заключения и исполнения Договора, а также иных связанных с ним сделок и иных юридических действий, включая получение всех необходимых решений органов управления, вышестоящих организаций, учредителей, участников и проч.;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для него не требуется каких-либо дополнительных (помимо уже полученных) приказов, согласий, утверждений, лицензий, разрешений со стороны любого органа управления, Государственного Органа в отношении (1) заключения Договора и (2) законности или действительности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5) заключение и исполнение Договора не противоречит и не представляет собой нарушения какого-либо иного обязательства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проистекающего из какой-либо сделки или иного основания;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обладает ресурсами, технологиями, деловыми связями, знаниями, навыками и умениями, а также соответствующим опытом, необходимыми для надлежащего исполнения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 вся письменная и устная информация, представленная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адрес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рамках исполнения Договора, равно как информация, предоставляемая впоследствии, является и будет являться достоверной и точной во всех существенных аспектах на ту дату, которой датирована информация;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SimSun" w:hAnsi="Times New Roman" w:cs="Times New Roman"/>
          <w:sz w:val="24"/>
          <w:szCs w:val="24"/>
          <w:lang w:val="ru-RU" w:eastAsia="ru-RU"/>
        </w:rPr>
        <w:t xml:space="preserve">8) заключил настоящий Договор по собственной инициативе, а не по указанию основного общества/компании, по отношению к которому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81519">
        <w:rPr>
          <w:rFonts w:ascii="Times New Roman" w:eastAsia="SimSun" w:hAnsi="Times New Roman" w:cs="Times New Roman"/>
          <w:sz w:val="24"/>
          <w:szCs w:val="24"/>
          <w:lang w:val="ru-RU" w:eastAsia="ru-RU"/>
        </w:rPr>
        <w:t>является зависимым обществом;</w:t>
      </w:r>
    </w:p>
    <w:p w:rsidR="00E81519" w:rsidRPr="00E81519" w:rsidRDefault="00E81519" w:rsidP="00E81519">
      <w:pPr>
        <w:widowControl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9) в отношении него не имеется возбужденного дела о банкротстве, включая процедуру наблюдения, финансового оздоровления, внешнего управления, конкурсного производства; </w:t>
      </w:r>
    </w:p>
    <w:p w:rsidR="00E81519" w:rsidRPr="00E81519" w:rsidRDefault="00E81519" w:rsidP="00E81519">
      <w:pPr>
        <w:widowControl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он не располагает сведениями о факте подачи в отношении него кредитором заявления о признании его банкротом;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он не находится в процессе ликвидации. 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1.2. Стороны подтверждают и соглашаются с тем, что указанные в п. 1 Оговорки заверения и гарантии: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1) взятые вместе и по отдельности в соответствии с п. 1 ст. 432 ГК РФ признаются Сторонами существенными условиями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являются обстоятельствами, имеющими значение для заключения Договора, его исполнения или прекращения;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составляют сведения, на которые полагается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заключении настоящего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4) являются точными и достоверными сведениями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2.1. При подписании Договора Стороны исходят из того, что Договор заключается по результатам проведения конкурентной процедуры закупки, в которой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2.1. При подписании Договора Стороны исходят из того, что Договор заключается по результатам проведения конкурентной процедуры закупки, в которой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______________(указывается обозначение ПАО "НК "Роснефть"/ОГ как стороны в договоре)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ункт подлежит применению в случае, когда контрагент определен по результатам проведения конкурентной процедуры закупки)."/>
            </w:textInput>
          </w:ffData>
        </w:fldCha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(пункт подлежит применению в случае, когда контрагент определен по результатам проведения конкурентной процедуры закупки).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2.1. Перед подписанием настоящего Договора по результатам проведения неконкурентной процедуры закупки ______________(указывается обозначение ПАО &quot;НК &quot;Роснефть&quot;/ОГ как стороны в договоре) проверяет соответствие ______________(указывается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2.1. Перед подписанием настоящего Договора по результатам проведения неконкурентной процедуры закупки ______________(указывается обозначение ПАО "НК "Роснефть"/ОГ как стороны в договоре) проверяет соответствие ______________(указывается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обозначение контрагента как стороны в договоре) требованиям в рамках должной осмотрительности, к уровню финансовой устойчивости, специальным требованиям, подтверждающим его возможность своевременно поставить товары,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обозначение контрагента как стороны в договоре) требованиям в рамках должной осмотрительности, к уровню финансовой устойчивости, специальным требованиям, подтверждающим его возможность своевременно поставить товары,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выполнить работы, оказать услуги с необходимым уровнем качества, включая требования о наличии специального опыта, возможностей и  ресурсной базы, разрешительных документов (лицензий, сертификатов, допусков и пр.), необходимых в соответствии с действующим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выполнить работы, оказать услуги с необходимым уровнем качества, включая требования о наличии специального опыта, возможностей и  ресурсной базы, разрешительных документов (лицензий, сертификатов, допусков и пр.), необходимых в соответствии с действующим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законодательством РФ, иным  требованиям (далее – Требования).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законодательством РФ, иным  требованиям (далее – Требования).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ункт подлежит применению в случае, когда контрагент определен по результатам проведения неконкурентной процедуры закупки)."/>
            </w:textInput>
          </w:ffData>
        </w:fldCha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(пункт подлежит применению в случае, когда контрагент определен по результатам проведения неконкурентной процедуры закупки).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2.2.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основании ст. 431.2 ГК РФ заверяет и гарантирует, что он сам и предложенные им товары, работы, услуги, являющиеся предметом настоящего Договора, соответствуют предъявляемым Требованиям, указанным в п. 2.1 Оговорки.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2.3. В случае нарушения со стороны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заверений и гарантий, указанных в </w:t>
      </w:r>
      <w:proofErr w:type="spellStart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п.п</w:t>
      </w:r>
      <w:proofErr w:type="spellEnd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1.1, 2.1 Оговорки и/или  в случае обнаружения 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(из любого источника) предоставления в рамках соответствующей закупочной процедуры недостоверных сведений, влияющих на принятое решение о допуске 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дальнейшим стадиям закупки и/или установление его места в итогах ранжирования и/или принятие решения о заключении настоящего Договора наступает одно или несколько следующих событий по выбору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обязан оплатить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штраф в размере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обязан </w:t>
      </w:r>
      <w:proofErr w:type="gramStart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возместить  </w:t>
      </w:r>
      <w:proofErr w:type="gramEnd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его требованию убытки;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соответствии с п. 2 ст. 431.2 ГК РФ вправе отказаться от исполнения настоящего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Договора</w:t>
      </w:r>
      <w:r w:rsidRPr="00E8151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без компенсации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убытков.</w:t>
      </w:r>
    </w:p>
    <w:p w:rsidR="00E81519" w:rsidRPr="00E81519" w:rsidRDefault="00E81519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BF55AB" w:rsidRPr="00735B36" w:rsidTr="00BF55AB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20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0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21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1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Pr="00BF55A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FB075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BD3FD0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2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BD3FD0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26456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2645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26456" w:rsidRDefault="00226456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785B44" w:rsidRDefault="00785B44" w:rsidP="002D38AB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EB4673" w:rsidRPr="00EB4673" w:rsidRDefault="00EB4673" w:rsidP="005A2A30">
      <w:pPr>
        <w:widowControl/>
        <w:spacing w:line="360" w:lineRule="auto"/>
        <w:ind w:firstLine="709"/>
        <w:jc w:val="both"/>
        <w:rPr>
          <w:rFonts w:ascii="Times New Roman CYR" w:hAnsi="Times New Roman CYR"/>
          <w:lang w:val="ru-RU"/>
        </w:rPr>
      </w:pP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его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его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Договором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</w:t>
      </w:r>
      <w:r w:rsidRPr="00EB4673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 xml:space="preserve"> №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0A2106" w:rsidRDefault="000A2106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D24629" w:rsidRPr="00271465" w:rsidRDefault="00D24629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A2106" w:rsidRDefault="000A2106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0A210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3539"/>
        <w:gridCol w:w="3470"/>
      </w:tblGrid>
      <w:tr w:rsidR="009079BD" w:rsidRPr="00FF3913" w:rsidTr="00F31E1E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353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3470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F31E1E" w:rsidRPr="00F31E1E" w:rsidTr="00F31E1E">
        <w:trPr>
          <w:trHeight w:hRule="exact" w:val="1028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Товарная накладная ТОРГ-12, формат утвержден приказом ФНС</w:t>
            </w:r>
          </w:p>
        </w:tc>
        <w:tc>
          <w:tcPr>
            <w:tcW w:w="3539" w:type="dxa"/>
            <w:shd w:val="clear" w:color="auto" w:fill="FFFFFF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xls(xlsx), xml (утв. приказом ФНС России от 19.12.2023 № ЕД-7-26/970@., word, pdf, tiff</w:t>
            </w:r>
          </w:p>
        </w:tc>
        <w:tc>
          <w:tcPr>
            <w:tcW w:w="3470" w:type="dxa"/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Товарная накладная ТОРГ-12</w:t>
            </w:r>
          </w:p>
        </w:tc>
      </w:tr>
      <w:tr w:rsidR="00F31E1E" w:rsidRPr="00F31E1E" w:rsidTr="00F31E1E">
        <w:trPr>
          <w:trHeight w:hRule="exact" w:val="990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Счет-фактура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xml, утв. приказом ФНС России от 19.12.2023 № ЕД-7-26/970@.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Счет-фактура</w:t>
            </w:r>
          </w:p>
        </w:tc>
      </w:tr>
      <w:tr w:rsidR="00F31E1E" w:rsidRPr="00F31E1E" w:rsidTr="00F31E1E">
        <w:trPr>
          <w:trHeight w:hRule="exact" w:val="561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Акт сверки расчетов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xls(xlsx), xml, word, pdf, tiff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Акт сверки расчетов</w:t>
            </w:r>
          </w:p>
        </w:tc>
      </w:tr>
      <w:tr w:rsidR="00F31E1E" w:rsidRPr="00FF3913" w:rsidTr="00F31E1E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Иные неформализованные первичные документы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pdf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Аналогичные документ на бумажном носителе</w:t>
            </w:r>
          </w:p>
        </w:tc>
      </w:tr>
      <w:tr w:rsidR="00F31E1E" w:rsidRPr="003A0890" w:rsidTr="00F31E1E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53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470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F31E1E" w:rsidRPr="003A0890" w:rsidTr="00F31E1E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53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470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F31E1E" w:rsidRPr="003A0890" w:rsidTr="00F31E1E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53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470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F31E1E" w:rsidRPr="003A0890" w:rsidTr="00F31E1E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53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470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521A74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3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4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6D6175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5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</w:tc>
        <w:tc>
          <w:tcPr>
            <w:tcW w:w="2428" w:type="pct"/>
            <w:gridSpan w:val="2"/>
            <w:noWrap/>
          </w:tcPr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6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7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7"/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8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8"/>
          </w:p>
        </w:tc>
      </w:tr>
    </w:tbl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334C1F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FF75BB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от _______. _____. 20____г.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от _______. _____. 20____г.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315BB4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F75BB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15BB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</w:t>
      </w:r>
      <w:proofErr w:type="gramStart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копии</w:t>
      </w:r>
      <w:proofErr w:type="gramEnd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26456" w:rsidRPr="00FF3913" w:rsidTr="00A71B5C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A71B5C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A71B5C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4C0599" w:rsidRPr="00271465" w:rsidRDefault="004C0599" w:rsidP="004C0599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на электронный адрес 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proofErr w:type="gramStart"/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gramEnd"/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задействованным в исполнении Договора."/>
            </w:textInput>
          </w:ffData>
        </w:fldCha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E82C53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задействованным в исполнении Договора.</w: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26456" w:rsidRPr="00271465" w:rsidRDefault="00226456" w:rsidP="00226456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6D7DED6" wp14:editId="628C8E22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15BCB" id="Прямая соединительная линия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226456" w:rsidSect="006335D9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FF3913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FF3913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FF391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FF391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FF3913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FF3913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037455" w:rsidRPr="00271465" w:rsidTr="00A71B5C">
        <w:trPr>
          <w:trHeight w:val="249"/>
        </w:trPr>
        <w:tc>
          <w:tcPr>
            <w:tcW w:w="2151" w:type="pct"/>
            <w:noWrap/>
          </w:tcPr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037455" w:rsidRPr="00271465" w:rsidRDefault="00037455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F47FCC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804" w:rsidRDefault="002A5804" w:rsidP="000B6615">
      <w:r>
        <w:separator/>
      </w:r>
    </w:p>
  </w:endnote>
  <w:endnote w:type="continuationSeparator" w:id="0">
    <w:p w:rsidR="002A5804" w:rsidRDefault="002A5804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F3913" w:rsidRPr="007A44FA" w:rsidRDefault="00FF3913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332CFB" w:rsidRPr="00332CFB">
          <w:rPr>
            <w:rFonts w:ascii="Times New Roman" w:hAnsi="Times New Roman" w:cs="Times New Roman"/>
            <w:noProof/>
            <w:sz w:val="24"/>
            <w:lang w:val="ru-RU"/>
          </w:rPr>
          <w:t>10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804" w:rsidRDefault="002A5804" w:rsidP="000B6615">
      <w:r>
        <w:separator/>
      </w:r>
    </w:p>
  </w:footnote>
  <w:footnote w:type="continuationSeparator" w:id="0">
    <w:p w:rsidR="002A5804" w:rsidRDefault="002A5804" w:rsidP="000B6615">
      <w:r>
        <w:continuationSeparator/>
      </w:r>
    </w:p>
  </w:footnote>
  <w:footnote w:id="1">
    <w:p w:rsidR="00FF3913" w:rsidRDefault="00FF3913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B0EFF"/>
    <w:multiLevelType w:val="hybridMultilevel"/>
    <w:tmpl w:val="12AA5820"/>
    <w:lvl w:ilvl="0" w:tplc="099AB0C6">
      <w:start w:val="14"/>
      <w:numFmt w:val="decimal"/>
      <w:lvlText w:val="%1.2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80350"/>
    <w:multiLevelType w:val="hybridMultilevel"/>
    <w:tmpl w:val="7F12356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5">
    <w:nsid w:val="121159A2"/>
    <w:multiLevelType w:val="hybridMultilevel"/>
    <w:tmpl w:val="06DC7A9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6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6E07AE"/>
    <w:multiLevelType w:val="hybridMultilevel"/>
    <w:tmpl w:val="D94E112E"/>
    <w:lvl w:ilvl="0" w:tplc="5F5A72C0">
      <w:start w:val="14"/>
      <w:numFmt w:val="decimal"/>
      <w:lvlText w:val="%1.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852B8"/>
    <w:multiLevelType w:val="hybridMultilevel"/>
    <w:tmpl w:val="24DEB45A"/>
    <w:lvl w:ilvl="0" w:tplc="4BFC911C">
      <w:start w:val="14"/>
      <w:numFmt w:val="decimal"/>
      <w:lvlText w:val="%1.3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6F7203"/>
    <w:multiLevelType w:val="hybridMultilevel"/>
    <w:tmpl w:val="A15CC19C"/>
    <w:lvl w:ilvl="0" w:tplc="61FEA926">
      <w:start w:val="1"/>
      <w:numFmt w:val="decimal"/>
      <w:lvlText w:val="%1.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44"/>
  </w:num>
  <w:num w:numId="3">
    <w:abstractNumId w:val="7"/>
  </w:num>
  <w:num w:numId="4">
    <w:abstractNumId w:val="6"/>
  </w:num>
  <w:num w:numId="5">
    <w:abstractNumId w:val="18"/>
  </w:num>
  <w:num w:numId="6">
    <w:abstractNumId w:val="45"/>
  </w:num>
  <w:num w:numId="7">
    <w:abstractNumId w:val="24"/>
  </w:num>
  <w:num w:numId="8">
    <w:abstractNumId w:val="0"/>
  </w:num>
  <w:num w:numId="9">
    <w:abstractNumId w:val="23"/>
  </w:num>
  <w:num w:numId="10">
    <w:abstractNumId w:val="31"/>
  </w:num>
  <w:num w:numId="11">
    <w:abstractNumId w:val="30"/>
  </w:num>
  <w:num w:numId="12">
    <w:abstractNumId w:val="19"/>
  </w:num>
  <w:num w:numId="13">
    <w:abstractNumId w:val="8"/>
  </w:num>
  <w:num w:numId="14">
    <w:abstractNumId w:val="37"/>
  </w:num>
  <w:num w:numId="15">
    <w:abstractNumId w:val="1"/>
  </w:num>
  <w:num w:numId="16">
    <w:abstractNumId w:val="42"/>
  </w:num>
  <w:num w:numId="17">
    <w:abstractNumId w:val="16"/>
  </w:num>
  <w:num w:numId="18">
    <w:abstractNumId w:val="13"/>
  </w:num>
  <w:num w:numId="19">
    <w:abstractNumId w:val="14"/>
  </w:num>
  <w:num w:numId="20">
    <w:abstractNumId w:val="4"/>
  </w:num>
  <w:num w:numId="21">
    <w:abstractNumId w:val="5"/>
  </w:num>
  <w:num w:numId="22">
    <w:abstractNumId w:val="15"/>
  </w:num>
  <w:num w:numId="23">
    <w:abstractNumId w:val="10"/>
  </w:num>
  <w:num w:numId="24">
    <w:abstractNumId w:val="43"/>
  </w:num>
  <w:num w:numId="25">
    <w:abstractNumId w:val="32"/>
  </w:num>
  <w:num w:numId="26">
    <w:abstractNumId w:val="41"/>
  </w:num>
  <w:num w:numId="27">
    <w:abstractNumId w:val="33"/>
  </w:num>
  <w:num w:numId="28">
    <w:abstractNumId w:val="20"/>
  </w:num>
  <w:num w:numId="29">
    <w:abstractNumId w:val="9"/>
  </w:num>
  <w:num w:numId="30">
    <w:abstractNumId w:val="36"/>
  </w:num>
  <w:num w:numId="31">
    <w:abstractNumId w:val="35"/>
  </w:num>
  <w:num w:numId="32">
    <w:abstractNumId w:val="12"/>
  </w:num>
  <w:num w:numId="33">
    <w:abstractNumId w:val="29"/>
  </w:num>
  <w:num w:numId="34">
    <w:abstractNumId w:val="11"/>
  </w:num>
  <w:num w:numId="35">
    <w:abstractNumId w:val="26"/>
  </w:num>
  <w:num w:numId="36">
    <w:abstractNumId w:val="17"/>
  </w:num>
  <w:num w:numId="37">
    <w:abstractNumId w:val="25"/>
  </w:num>
  <w:num w:numId="38">
    <w:abstractNumId w:val="40"/>
  </w:num>
  <w:num w:numId="39">
    <w:abstractNumId w:val="21"/>
  </w:num>
  <w:num w:numId="40">
    <w:abstractNumId w:val="34"/>
  </w:num>
  <w:num w:numId="41">
    <w:abstractNumId w:val="22"/>
  </w:num>
  <w:num w:numId="42">
    <w:abstractNumId w:val="38"/>
  </w:num>
  <w:num w:numId="43">
    <w:abstractNumId w:val="27"/>
  </w:num>
  <w:num w:numId="44">
    <w:abstractNumId w:val="2"/>
  </w:num>
  <w:num w:numId="45">
    <w:abstractNumId w:val="28"/>
  </w:num>
  <w:num w:numId="46">
    <w:abstractNumId w:val="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37455"/>
    <w:rsid w:val="00043B37"/>
    <w:rsid w:val="0004401E"/>
    <w:rsid w:val="00046995"/>
    <w:rsid w:val="000471E1"/>
    <w:rsid w:val="0005277E"/>
    <w:rsid w:val="00053035"/>
    <w:rsid w:val="00056941"/>
    <w:rsid w:val="00065402"/>
    <w:rsid w:val="000654DB"/>
    <w:rsid w:val="00066656"/>
    <w:rsid w:val="00071226"/>
    <w:rsid w:val="00073FFF"/>
    <w:rsid w:val="00083AB2"/>
    <w:rsid w:val="00086F16"/>
    <w:rsid w:val="000909FF"/>
    <w:rsid w:val="000A2106"/>
    <w:rsid w:val="000A37F9"/>
    <w:rsid w:val="000A5F4F"/>
    <w:rsid w:val="000B4B17"/>
    <w:rsid w:val="000B6615"/>
    <w:rsid w:val="000B674A"/>
    <w:rsid w:val="000C0EA0"/>
    <w:rsid w:val="000C10ED"/>
    <w:rsid w:val="000C1A44"/>
    <w:rsid w:val="000C61CB"/>
    <w:rsid w:val="000C6B3C"/>
    <w:rsid w:val="000D2B86"/>
    <w:rsid w:val="000E021D"/>
    <w:rsid w:val="000E20E4"/>
    <w:rsid w:val="000E45F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46F4"/>
    <w:rsid w:val="0015509D"/>
    <w:rsid w:val="001642C4"/>
    <w:rsid w:val="001666F7"/>
    <w:rsid w:val="00175BC3"/>
    <w:rsid w:val="001761BD"/>
    <w:rsid w:val="001764D9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456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62C85"/>
    <w:rsid w:val="002635CD"/>
    <w:rsid w:val="00271465"/>
    <w:rsid w:val="00272C0D"/>
    <w:rsid w:val="00286A40"/>
    <w:rsid w:val="00287A2D"/>
    <w:rsid w:val="002925F9"/>
    <w:rsid w:val="00296381"/>
    <w:rsid w:val="002A0A9A"/>
    <w:rsid w:val="002A1698"/>
    <w:rsid w:val="002A1EED"/>
    <w:rsid w:val="002A3439"/>
    <w:rsid w:val="002A467A"/>
    <w:rsid w:val="002A5804"/>
    <w:rsid w:val="002A5CCD"/>
    <w:rsid w:val="002B7CF1"/>
    <w:rsid w:val="002C2F95"/>
    <w:rsid w:val="002C3E40"/>
    <w:rsid w:val="002D3019"/>
    <w:rsid w:val="002D38AB"/>
    <w:rsid w:val="002D3D77"/>
    <w:rsid w:val="002D45D1"/>
    <w:rsid w:val="002D6D45"/>
    <w:rsid w:val="002E0CE3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15BB4"/>
    <w:rsid w:val="00323D83"/>
    <w:rsid w:val="00326BCC"/>
    <w:rsid w:val="00326C6A"/>
    <w:rsid w:val="003324CD"/>
    <w:rsid w:val="0033298C"/>
    <w:rsid w:val="00332CFB"/>
    <w:rsid w:val="00333CFE"/>
    <w:rsid w:val="00334C1F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0484"/>
    <w:rsid w:val="00393CB2"/>
    <w:rsid w:val="00395FEE"/>
    <w:rsid w:val="003A020C"/>
    <w:rsid w:val="003A0890"/>
    <w:rsid w:val="003A28ED"/>
    <w:rsid w:val="003A795C"/>
    <w:rsid w:val="003B52C0"/>
    <w:rsid w:val="003B5462"/>
    <w:rsid w:val="003C255E"/>
    <w:rsid w:val="003C4847"/>
    <w:rsid w:val="003C6A71"/>
    <w:rsid w:val="003D062A"/>
    <w:rsid w:val="003D2710"/>
    <w:rsid w:val="003D6F31"/>
    <w:rsid w:val="003E1805"/>
    <w:rsid w:val="003E3380"/>
    <w:rsid w:val="003E5189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324"/>
    <w:rsid w:val="00446E98"/>
    <w:rsid w:val="0045040A"/>
    <w:rsid w:val="004522D2"/>
    <w:rsid w:val="00452DBE"/>
    <w:rsid w:val="004566A9"/>
    <w:rsid w:val="00474471"/>
    <w:rsid w:val="00484663"/>
    <w:rsid w:val="004860A6"/>
    <w:rsid w:val="0048647A"/>
    <w:rsid w:val="0049103E"/>
    <w:rsid w:val="00492428"/>
    <w:rsid w:val="00493D4E"/>
    <w:rsid w:val="004A2D7B"/>
    <w:rsid w:val="004A55CA"/>
    <w:rsid w:val="004B4876"/>
    <w:rsid w:val="004C0599"/>
    <w:rsid w:val="004C5EB9"/>
    <w:rsid w:val="004D5D25"/>
    <w:rsid w:val="004D66DD"/>
    <w:rsid w:val="004E78E5"/>
    <w:rsid w:val="004F62B5"/>
    <w:rsid w:val="004F64EB"/>
    <w:rsid w:val="00500790"/>
    <w:rsid w:val="00502BEE"/>
    <w:rsid w:val="00507571"/>
    <w:rsid w:val="005142CE"/>
    <w:rsid w:val="00521A74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32B"/>
    <w:rsid w:val="00571488"/>
    <w:rsid w:val="00580F63"/>
    <w:rsid w:val="00584C3D"/>
    <w:rsid w:val="005923DC"/>
    <w:rsid w:val="005932E9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E5EE8"/>
    <w:rsid w:val="005F7C83"/>
    <w:rsid w:val="005F7CEB"/>
    <w:rsid w:val="006022B0"/>
    <w:rsid w:val="00612C6F"/>
    <w:rsid w:val="00620FE5"/>
    <w:rsid w:val="006231CD"/>
    <w:rsid w:val="00631EFF"/>
    <w:rsid w:val="006335D9"/>
    <w:rsid w:val="006410A8"/>
    <w:rsid w:val="00645162"/>
    <w:rsid w:val="00652B4D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3D7"/>
    <w:rsid w:val="00703CDE"/>
    <w:rsid w:val="00711AA8"/>
    <w:rsid w:val="00726928"/>
    <w:rsid w:val="007270B9"/>
    <w:rsid w:val="00731F0D"/>
    <w:rsid w:val="00735E39"/>
    <w:rsid w:val="00750EE6"/>
    <w:rsid w:val="00751429"/>
    <w:rsid w:val="00755473"/>
    <w:rsid w:val="00756B40"/>
    <w:rsid w:val="00763895"/>
    <w:rsid w:val="007647A7"/>
    <w:rsid w:val="00767B7F"/>
    <w:rsid w:val="00774280"/>
    <w:rsid w:val="00782B3C"/>
    <w:rsid w:val="00785B44"/>
    <w:rsid w:val="00785DA1"/>
    <w:rsid w:val="00786A24"/>
    <w:rsid w:val="00786A7C"/>
    <w:rsid w:val="00791678"/>
    <w:rsid w:val="0079261F"/>
    <w:rsid w:val="00794D43"/>
    <w:rsid w:val="00795569"/>
    <w:rsid w:val="007978B0"/>
    <w:rsid w:val="007A2477"/>
    <w:rsid w:val="007A44FA"/>
    <w:rsid w:val="007B1589"/>
    <w:rsid w:val="007C05E5"/>
    <w:rsid w:val="007C4C1C"/>
    <w:rsid w:val="007D3918"/>
    <w:rsid w:val="007D71FC"/>
    <w:rsid w:val="007F3311"/>
    <w:rsid w:val="007F4C73"/>
    <w:rsid w:val="007F5653"/>
    <w:rsid w:val="007F698D"/>
    <w:rsid w:val="00803675"/>
    <w:rsid w:val="00810E0B"/>
    <w:rsid w:val="00812199"/>
    <w:rsid w:val="00813F1D"/>
    <w:rsid w:val="0082153D"/>
    <w:rsid w:val="00822D16"/>
    <w:rsid w:val="00826273"/>
    <w:rsid w:val="00830015"/>
    <w:rsid w:val="00836881"/>
    <w:rsid w:val="00842694"/>
    <w:rsid w:val="00843CFC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82D84"/>
    <w:rsid w:val="00896171"/>
    <w:rsid w:val="00897D58"/>
    <w:rsid w:val="008A2521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C7C23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34494"/>
    <w:rsid w:val="00945DD1"/>
    <w:rsid w:val="00951D8B"/>
    <w:rsid w:val="00956803"/>
    <w:rsid w:val="00964A3D"/>
    <w:rsid w:val="009658E3"/>
    <w:rsid w:val="009669E8"/>
    <w:rsid w:val="0096704A"/>
    <w:rsid w:val="00975C97"/>
    <w:rsid w:val="009771FE"/>
    <w:rsid w:val="009837C5"/>
    <w:rsid w:val="00984F82"/>
    <w:rsid w:val="00994F0C"/>
    <w:rsid w:val="009A0519"/>
    <w:rsid w:val="009A2C19"/>
    <w:rsid w:val="009A4A1F"/>
    <w:rsid w:val="009B087B"/>
    <w:rsid w:val="009C096A"/>
    <w:rsid w:val="009C0FEE"/>
    <w:rsid w:val="009C13E7"/>
    <w:rsid w:val="009C373E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16E3E"/>
    <w:rsid w:val="00A3390B"/>
    <w:rsid w:val="00A37052"/>
    <w:rsid w:val="00A449B1"/>
    <w:rsid w:val="00A55BB7"/>
    <w:rsid w:val="00A62F69"/>
    <w:rsid w:val="00A64AFD"/>
    <w:rsid w:val="00A658AB"/>
    <w:rsid w:val="00A666F9"/>
    <w:rsid w:val="00A71803"/>
    <w:rsid w:val="00A71B5C"/>
    <w:rsid w:val="00A9287A"/>
    <w:rsid w:val="00A96A30"/>
    <w:rsid w:val="00AA0CBD"/>
    <w:rsid w:val="00AA112A"/>
    <w:rsid w:val="00AB0AF1"/>
    <w:rsid w:val="00AB4173"/>
    <w:rsid w:val="00AB45C4"/>
    <w:rsid w:val="00AB6D48"/>
    <w:rsid w:val="00AC3838"/>
    <w:rsid w:val="00AD44F1"/>
    <w:rsid w:val="00AE4265"/>
    <w:rsid w:val="00AE5327"/>
    <w:rsid w:val="00AF2794"/>
    <w:rsid w:val="00B073E9"/>
    <w:rsid w:val="00B0778A"/>
    <w:rsid w:val="00B10336"/>
    <w:rsid w:val="00B1034A"/>
    <w:rsid w:val="00B17C35"/>
    <w:rsid w:val="00B20A64"/>
    <w:rsid w:val="00B22EDA"/>
    <w:rsid w:val="00B239DC"/>
    <w:rsid w:val="00B23C42"/>
    <w:rsid w:val="00B3796C"/>
    <w:rsid w:val="00B40B41"/>
    <w:rsid w:val="00B4421F"/>
    <w:rsid w:val="00B47050"/>
    <w:rsid w:val="00B52409"/>
    <w:rsid w:val="00B53554"/>
    <w:rsid w:val="00B5734D"/>
    <w:rsid w:val="00B57C44"/>
    <w:rsid w:val="00B60359"/>
    <w:rsid w:val="00B702F6"/>
    <w:rsid w:val="00B709FE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87634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D3FD0"/>
    <w:rsid w:val="00BE061E"/>
    <w:rsid w:val="00BE307B"/>
    <w:rsid w:val="00BE41A1"/>
    <w:rsid w:val="00BF076E"/>
    <w:rsid w:val="00BF55AB"/>
    <w:rsid w:val="00C01606"/>
    <w:rsid w:val="00C03D83"/>
    <w:rsid w:val="00C050F6"/>
    <w:rsid w:val="00C06DAC"/>
    <w:rsid w:val="00C072AC"/>
    <w:rsid w:val="00C118B1"/>
    <w:rsid w:val="00C12CB4"/>
    <w:rsid w:val="00C15055"/>
    <w:rsid w:val="00C253FA"/>
    <w:rsid w:val="00C320ED"/>
    <w:rsid w:val="00C328E4"/>
    <w:rsid w:val="00C37A6B"/>
    <w:rsid w:val="00C45E79"/>
    <w:rsid w:val="00C5324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51C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C738E"/>
    <w:rsid w:val="00CD035F"/>
    <w:rsid w:val="00CD0BA0"/>
    <w:rsid w:val="00CD526B"/>
    <w:rsid w:val="00CD7235"/>
    <w:rsid w:val="00CE271F"/>
    <w:rsid w:val="00CF14E3"/>
    <w:rsid w:val="00CF1AF9"/>
    <w:rsid w:val="00CF22F2"/>
    <w:rsid w:val="00CF5295"/>
    <w:rsid w:val="00D05876"/>
    <w:rsid w:val="00D1099F"/>
    <w:rsid w:val="00D123D5"/>
    <w:rsid w:val="00D131D9"/>
    <w:rsid w:val="00D17C19"/>
    <w:rsid w:val="00D24629"/>
    <w:rsid w:val="00D3170E"/>
    <w:rsid w:val="00D541AD"/>
    <w:rsid w:val="00D70DBF"/>
    <w:rsid w:val="00D87469"/>
    <w:rsid w:val="00D91E70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C310E"/>
    <w:rsid w:val="00DC488F"/>
    <w:rsid w:val="00DD21D4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05BE"/>
    <w:rsid w:val="00E25C20"/>
    <w:rsid w:val="00E302E3"/>
    <w:rsid w:val="00E30408"/>
    <w:rsid w:val="00E330DF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0D43"/>
    <w:rsid w:val="00E61D6C"/>
    <w:rsid w:val="00E625EF"/>
    <w:rsid w:val="00E65F43"/>
    <w:rsid w:val="00E67555"/>
    <w:rsid w:val="00E81519"/>
    <w:rsid w:val="00E82C53"/>
    <w:rsid w:val="00E8771C"/>
    <w:rsid w:val="00E90675"/>
    <w:rsid w:val="00E9364A"/>
    <w:rsid w:val="00E9610D"/>
    <w:rsid w:val="00E96252"/>
    <w:rsid w:val="00E97819"/>
    <w:rsid w:val="00EA062A"/>
    <w:rsid w:val="00EB3EB5"/>
    <w:rsid w:val="00EB4673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298D"/>
    <w:rsid w:val="00F1320D"/>
    <w:rsid w:val="00F13747"/>
    <w:rsid w:val="00F178A7"/>
    <w:rsid w:val="00F31E1E"/>
    <w:rsid w:val="00F43AEB"/>
    <w:rsid w:val="00F444AB"/>
    <w:rsid w:val="00F46536"/>
    <w:rsid w:val="00F47FCC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1616"/>
    <w:rsid w:val="00F96180"/>
    <w:rsid w:val="00F977BA"/>
    <w:rsid w:val="00F97C03"/>
    <w:rsid w:val="00F97C41"/>
    <w:rsid w:val="00FA0075"/>
    <w:rsid w:val="00FA4870"/>
    <w:rsid w:val="00FA4CF1"/>
    <w:rsid w:val="00FA7E36"/>
    <w:rsid w:val="00FA7EBA"/>
    <w:rsid w:val="00FB075D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2D9A"/>
    <w:rsid w:val="00FF3913"/>
    <w:rsid w:val="00FF458B"/>
    <w:rsid w:val="00F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2C53"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D1099F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af9">
    <w:name w:val="Основной текст_"/>
    <w:basedOn w:val="a0"/>
    <w:link w:val="4"/>
    <w:rsid w:val="001546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9"/>
    <w:rsid w:val="001546F4"/>
    <w:pPr>
      <w:shd w:val="clear" w:color="auto" w:fill="FFFFFF"/>
      <w:spacing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14836-4139-4D4E-A277-7AB087FD2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27</Pages>
  <Words>11135</Words>
  <Characters>63474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Трепова Наталья Владимировна</cp:lastModifiedBy>
  <cp:revision>28</cp:revision>
  <dcterms:created xsi:type="dcterms:W3CDTF">2024-09-04T05:24:00Z</dcterms:created>
  <dcterms:modified xsi:type="dcterms:W3CDTF">2025-10-30T05:49:00Z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